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75F" w:rsidRPr="00CA4094" w:rsidRDefault="00C9275F" w:rsidP="00C9275F">
      <w:pPr>
        <w:shd w:val="clear" w:color="auto" w:fill="FFFFFF" w:themeFill="background1"/>
        <w:bidi/>
        <w:spacing w:line="276" w:lineRule="auto"/>
        <w:jc w:val="center"/>
        <w:rPr>
          <w:rFonts w:ascii="Candara" w:hAnsi="Candara"/>
          <w:sz w:val="28"/>
          <w:szCs w:val="28"/>
        </w:rPr>
      </w:pPr>
      <w:r>
        <w:rPr>
          <w:rFonts w:ascii="Simplified Arabic" w:hAnsi="Simplified Arabic" w:cs="Simplified Arabic"/>
          <w:noProof/>
          <w:lang w:eastAsia="fr-FR"/>
        </w:rPr>
        <w:drawing>
          <wp:inline distT="0" distB="0" distL="0" distR="0" wp14:anchorId="6E7188E2" wp14:editId="149D40D6">
            <wp:extent cx="5760720" cy="1130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275F">
        <w:rPr>
          <w:rFonts w:ascii="Candara" w:hAnsi="Candara"/>
          <w:sz w:val="28"/>
          <w:szCs w:val="28"/>
        </w:rPr>
        <w:t xml:space="preserve"> </w:t>
      </w:r>
    </w:p>
    <w:p w:rsidR="00C9275F" w:rsidRPr="00CA4094" w:rsidRDefault="00C9275F" w:rsidP="00C9275F">
      <w:pPr>
        <w:shd w:val="clear" w:color="auto" w:fill="FFFFFF" w:themeFill="background1"/>
        <w:bidi/>
        <w:spacing w:line="276" w:lineRule="auto"/>
        <w:jc w:val="center"/>
        <w:rPr>
          <w:rFonts w:ascii="Candara" w:hAnsi="Candara"/>
          <w:sz w:val="28"/>
          <w:szCs w:val="28"/>
        </w:rPr>
      </w:pPr>
      <w:r w:rsidRPr="00CA4094">
        <w:rPr>
          <w:rFonts w:ascii="Candara" w:eastAsia="Calibri" w:hAnsi="Candara" w:cs="Calibri"/>
          <w:b/>
          <w:bCs/>
          <w:sz w:val="28"/>
          <w:szCs w:val="28"/>
        </w:rPr>
        <w:t>Communiqué de presse</w:t>
      </w:r>
    </w:p>
    <w:p w:rsidR="00766060" w:rsidRPr="002E3D86" w:rsidRDefault="00C9275F" w:rsidP="002E3D86">
      <w:pPr>
        <w:jc w:val="center"/>
        <w:rPr>
          <w:rFonts w:ascii="Candara" w:hAnsi="Candara" w:cstheme="minorHAnsi"/>
          <w:b/>
          <w:bCs/>
          <w:sz w:val="28"/>
          <w:szCs w:val="28"/>
        </w:rPr>
      </w:pPr>
      <w:r w:rsidRPr="002E3D86">
        <w:rPr>
          <w:rFonts w:ascii="Candara" w:hAnsi="Candara" w:cstheme="minorHAnsi"/>
          <w:b/>
          <w:bCs/>
          <w:sz w:val="28"/>
          <w:szCs w:val="28"/>
        </w:rPr>
        <w:t>Le Chef du Gouvernement reçoit le Président de l’Autorité de Contrôle des Assurances et de la Prévoyance Sociale</w:t>
      </w:r>
    </w:p>
    <w:p w:rsidR="00C9275F" w:rsidRPr="00C9275F" w:rsidRDefault="00C9275F" w:rsidP="00C9275F">
      <w:pPr>
        <w:rPr>
          <w:rFonts w:ascii="Candara" w:hAnsi="Candara" w:cstheme="minorHAnsi"/>
          <w:sz w:val="28"/>
          <w:szCs w:val="28"/>
        </w:rPr>
      </w:pPr>
    </w:p>
    <w:p w:rsidR="00C9275F" w:rsidRPr="002E3D86" w:rsidRDefault="00C9275F" w:rsidP="00C9275F">
      <w:pPr>
        <w:rPr>
          <w:rFonts w:ascii="Candara" w:hAnsi="Candara" w:cstheme="minorHAnsi"/>
          <w:b/>
          <w:bCs/>
          <w:sz w:val="28"/>
          <w:szCs w:val="28"/>
        </w:rPr>
      </w:pPr>
      <w:r w:rsidRPr="002E3D86">
        <w:rPr>
          <w:rFonts w:ascii="Candara" w:hAnsi="Candara" w:cstheme="minorHAnsi"/>
          <w:b/>
          <w:bCs/>
          <w:sz w:val="28"/>
          <w:szCs w:val="28"/>
        </w:rPr>
        <w:t xml:space="preserve">Rabat le 12 décembre 2024 </w:t>
      </w:r>
    </w:p>
    <w:p w:rsidR="00C9275F" w:rsidRDefault="00C9275F" w:rsidP="009E0189">
      <w:pPr>
        <w:jc w:val="both"/>
        <w:rPr>
          <w:rFonts w:ascii="Candara" w:hAnsi="Candara" w:cstheme="minorHAnsi"/>
          <w:sz w:val="28"/>
          <w:szCs w:val="28"/>
        </w:rPr>
      </w:pPr>
      <w:r w:rsidRPr="00CA4094">
        <w:rPr>
          <w:rFonts w:ascii="Candara" w:hAnsi="Candara" w:cstheme="minorHAnsi"/>
          <w:sz w:val="28"/>
          <w:szCs w:val="28"/>
        </w:rPr>
        <w:t>Le Chef du Gouvernement, M. Aziz Akhannouch a reçu, jeudi 12 décembre 2024 à Rabat,</w:t>
      </w:r>
      <w:r>
        <w:rPr>
          <w:rFonts w:ascii="Candara" w:hAnsi="Candara" w:cstheme="minorHAnsi"/>
          <w:sz w:val="28"/>
          <w:szCs w:val="28"/>
        </w:rPr>
        <w:t xml:space="preserve"> M. </w:t>
      </w:r>
      <w:r w:rsidRPr="00C9275F">
        <w:rPr>
          <w:rFonts w:ascii="Candara" w:hAnsi="Candara" w:cstheme="minorHAnsi"/>
          <w:sz w:val="28"/>
          <w:szCs w:val="28"/>
        </w:rPr>
        <w:t xml:space="preserve">Abderrahim Chaffai, président de l’Autorité de Contrôle des Assurances et de la Prévoyance Sociale (ACAPS), qui </w:t>
      </w:r>
      <w:r>
        <w:rPr>
          <w:rFonts w:ascii="Candara" w:hAnsi="Candara" w:cstheme="minorHAnsi"/>
          <w:sz w:val="28"/>
          <w:szCs w:val="28"/>
        </w:rPr>
        <w:t xml:space="preserve">lui a présenté le rapport annuel de l’ACAPS, ainsi </w:t>
      </w:r>
      <w:r w:rsidRPr="00C9275F">
        <w:rPr>
          <w:rFonts w:ascii="Candara" w:hAnsi="Candara" w:cstheme="minorHAnsi"/>
          <w:sz w:val="28"/>
          <w:szCs w:val="28"/>
        </w:rPr>
        <w:t xml:space="preserve">que le rapport des opérations de contrôle des organismes de retraite au titre de l’année 2023. </w:t>
      </w:r>
    </w:p>
    <w:p w:rsidR="002E6441" w:rsidRPr="002E3D86" w:rsidRDefault="00C9275F" w:rsidP="009E0189">
      <w:pPr>
        <w:jc w:val="both"/>
        <w:rPr>
          <w:rFonts w:ascii="Candara" w:hAnsi="Candara" w:cstheme="minorHAnsi"/>
          <w:sz w:val="28"/>
          <w:szCs w:val="28"/>
        </w:rPr>
      </w:pPr>
      <w:r>
        <w:rPr>
          <w:rFonts w:ascii="Candara" w:hAnsi="Candara" w:cstheme="minorHAnsi"/>
          <w:sz w:val="28"/>
          <w:szCs w:val="28"/>
        </w:rPr>
        <w:t xml:space="preserve">Au cours de cette rencontre, le président de </w:t>
      </w:r>
      <w:r w:rsidR="00564390">
        <w:rPr>
          <w:rFonts w:ascii="Candara" w:hAnsi="Candara" w:cstheme="minorHAnsi"/>
          <w:sz w:val="28"/>
          <w:szCs w:val="28"/>
        </w:rPr>
        <w:t>l’ACAPS a</w:t>
      </w:r>
      <w:r w:rsidR="002E6441">
        <w:rPr>
          <w:rFonts w:ascii="Candara" w:hAnsi="Candara" w:cstheme="minorHAnsi"/>
          <w:sz w:val="28"/>
          <w:szCs w:val="28"/>
        </w:rPr>
        <w:t xml:space="preserve"> donné </w:t>
      </w:r>
      <w:r w:rsidR="002E6441" w:rsidRPr="002E3D86">
        <w:rPr>
          <w:rFonts w:ascii="Candara" w:hAnsi="Candara" w:cstheme="minorHAnsi"/>
          <w:sz w:val="28"/>
          <w:szCs w:val="28"/>
        </w:rPr>
        <w:t xml:space="preserve">un aperçu complet de la situation des secteurs de l'assurance et de la protection sociale pour l'année 2023, ainsi que des résultats des activités de l'Autorité en matière de supervision. </w:t>
      </w:r>
    </w:p>
    <w:p w:rsidR="008C2C04" w:rsidRDefault="002E6441" w:rsidP="009E0189">
      <w:pPr>
        <w:jc w:val="both"/>
        <w:rPr>
          <w:rFonts w:ascii="Candara" w:hAnsi="Candara" w:cstheme="minorHAnsi"/>
          <w:sz w:val="28"/>
          <w:szCs w:val="28"/>
        </w:rPr>
      </w:pPr>
      <w:r w:rsidRPr="002E3D86">
        <w:rPr>
          <w:rFonts w:ascii="Candara" w:hAnsi="Candara" w:cstheme="minorHAnsi"/>
          <w:sz w:val="28"/>
          <w:szCs w:val="28"/>
        </w:rPr>
        <w:t>Il a également souligné l’importance stratégique des secteurs des assurances et de la prévoyance sociale dans la protection des citoyens, la gestion des risques et le soutien à l’économie nationale</w:t>
      </w:r>
      <w:r w:rsidR="002E3D86" w:rsidRPr="002E3D86">
        <w:rPr>
          <w:rFonts w:ascii="Candara" w:hAnsi="Candara" w:cstheme="minorHAnsi"/>
          <w:sz w:val="28"/>
          <w:szCs w:val="28"/>
        </w:rPr>
        <w:t xml:space="preserve">. Les </w:t>
      </w:r>
      <w:r w:rsidR="008C2C04">
        <w:rPr>
          <w:rFonts w:ascii="Candara" w:hAnsi="Candara" w:cstheme="minorHAnsi"/>
          <w:sz w:val="28"/>
          <w:szCs w:val="28"/>
        </w:rPr>
        <w:t xml:space="preserve">opérateurs dans </w:t>
      </w:r>
      <w:r w:rsidR="002E3D86" w:rsidRPr="002E3D86">
        <w:rPr>
          <w:rFonts w:ascii="Candara" w:hAnsi="Candara" w:cstheme="minorHAnsi"/>
          <w:sz w:val="28"/>
          <w:szCs w:val="28"/>
        </w:rPr>
        <w:t xml:space="preserve">ces </w:t>
      </w:r>
      <w:r w:rsidRPr="002E3D86">
        <w:rPr>
          <w:rFonts w:ascii="Candara" w:hAnsi="Candara" w:cstheme="minorHAnsi"/>
          <w:sz w:val="28"/>
          <w:szCs w:val="28"/>
        </w:rPr>
        <w:t xml:space="preserve">secteurs </w:t>
      </w:r>
      <w:r w:rsidR="008C2C04">
        <w:rPr>
          <w:rFonts w:ascii="Candara" w:hAnsi="Candara" w:cstheme="minorHAnsi"/>
          <w:sz w:val="28"/>
          <w:szCs w:val="28"/>
        </w:rPr>
        <w:t xml:space="preserve">étant </w:t>
      </w:r>
      <w:r w:rsidRPr="002E3D86">
        <w:rPr>
          <w:rFonts w:ascii="Candara" w:hAnsi="Candara" w:cstheme="minorHAnsi"/>
          <w:sz w:val="28"/>
          <w:szCs w:val="28"/>
        </w:rPr>
        <w:t>parmi les investisseurs institutionnels les plus importants du secteur financier au Maroc</w:t>
      </w:r>
      <w:r w:rsidR="008C2C04">
        <w:rPr>
          <w:rFonts w:ascii="Candara" w:hAnsi="Candara" w:cstheme="minorHAnsi"/>
          <w:sz w:val="28"/>
          <w:szCs w:val="28"/>
        </w:rPr>
        <w:t xml:space="preserve"> et gèrent </w:t>
      </w:r>
      <w:r w:rsidR="008C2C04" w:rsidRPr="008C2C04">
        <w:rPr>
          <w:rFonts w:ascii="Candara" w:hAnsi="Candara" w:cstheme="minorHAnsi"/>
          <w:sz w:val="28"/>
          <w:szCs w:val="28"/>
        </w:rPr>
        <w:t>plus de 580 milliards de dirhams d’actifs</w:t>
      </w:r>
      <w:r w:rsidR="008C2C04">
        <w:rPr>
          <w:rFonts w:ascii="Candara" w:hAnsi="Candara" w:cstheme="minorHAnsi"/>
          <w:sz w:val="28"/>
          <w:szCs w:val="28"/>
        </w:rPr>
        <w:t xml:space="preserve">. </w:t>
      </w:r>
    </w:p>
    <w:p w:rsidR="008C2C04" w:rsidRPr="008C2C04" w:rsidRDefault="008C2C04" w:rsidP="009E0189">
      <w:pPr>
        <w:jc w:val="both"/>
        <w:rPr>
          <w:rFonts w:ascii="Candara" w:hAnsi="Candara" w:cstheme="minorHAnsi"/>
          <w:sz w:val="28"/>
          <w:szCs w:val="28"/>
        </w:rPr>
      </w:pPr>
      <w:r>
        <w:rPr>
          <w:rFonts w:ascii="Candara" w:hAnsi="Candara" w:cstheme="minorHAnsi"/>
          <w:sz w:val="28"/>
          <w:szCs w:val="28"/>
        </w:rPr>
        <w:t xml:space="preserve">Il a précisé que le secteur des assurances </w:t>
      </w:r>
      <w:r w:rsidRPr="008C2C04">
        <w:rPr>
          <w:rFonts w:ascii="Candara" w:hAnsi="Candara" w:cstheme="minorHAnsi"/>
          <w:sz w:val="28"/>
          <w:szCs w:val="28"/>
        </w:rPr>
        <w:t>a fait preuve d’une grande résilience face à un environnement économique mondial incertain, enregistrant un chiffre d’affaires d</w:t>
      </w:r>
      <w:r>
        <w:rPr>
          <w:rFonts w:ascii="Candara" w:hAnsi="Candara" w:cstheme="minorHAnsi"/>
          <w:sz w:val="28"/>
          <w:szCs w:val="28"/>
        </w:rPr>
        <w:t>’environ 60</w:t>
      </w:r>
      <w:r w:rsidRPr="008C2C04">
        <w:rPr>
          <w:rFonts w:ascii="Candara" w:hAnsi="Candara" w:cstheme="minorHAnsi"/>
          <w:sz w:val="28"/>
          <w:szCs w:val="28"/>
        </w:rPr>
        <w:t xml:space="preserve"> milliards de dirhams</w:t>
      </w:r>
      <w:r>
        <w:rPr>
          <w:rFonts w:ascii="Candara" w:hAnsi="Candara" w:cstheme="minorHAnsi"/>
          <w:sz w:val="28"/>
          <w:szCs w:val="28"/>
        </w:rPr>
        <w:t xml:space="preserve"> en 2023</w:t>
      </w:r>
      <w:r w:rsidRPr="008C2C04">
        <w:rPr>
          <w:rFonts w:ascii="Candara" w:hAnsi="Candara" w:cstheme="minorHAnsi"/>
          <w:sz w:val="28"/>
          <w:szCs w:val="28"/>
        </w:rPr>
        <w:t>, soit une progression de 4 % par rapport à 2022.</w:t>
      </w:r>
    </w:p>
    <w:p w:rsidR="008C2C04" w:rsidRDefault="008C2C04" w:rsidP="009E0189">
      <w:pPr>
        <w:jc w:val="both"/>
        <w:rPr>
          <w:rFonts w:ascii="Candara" w:hAnsi="Candara" w:cstheme="minorHAnsi"/>
          <w:sz w:val="28"/>
          <w:szCs w:val="28"/>
        </w:rPr>
      </w:pPr>
      <w:r w:rsidRPr="008C2C04">
        <w:rPr>
          <w:rFonts w:ascii="Candara" w:hAnsi="Candara" w:cstheme="minorHAnsi"/>
          <w:sz w:val="28"/>
          <w:szCs w:val="28"/>
        </w:rPr>
        <w:t xml:space="preserve">En ce qui concerne le secteur de la prévoyance sociale, les indicateurs démographiques montrent que les régimes de retraite couvrent actuellement 4,8 millions d’actifs avec une progression de l’ordre de 3,6% par rapport à 2022. Le taux de couverture retraite a ainsi atteint près de 49% de la population active occupée. En contrepartie, l’effectif des bénéficiaires des prestations de </w:t>
      </w:r>
      <w:r w:rsidRPr="008C2C04">
        <w:rPr>
          <w:rFonts w:ascii="Candara" w:hAnsi="Candara" w:cstheme="minorHAnsi"/>
          <w:sz w:val="28"/>
          <w:szCs w:val="28"/>
        </w:rPr>
        <w:lastRenderedPageBreak/>
        <w:t>ces régimes a augmenté de 4,8% pour atteindre 1,42 million de bénéficiaires dont 69% sont des retraités.</w:t>
      </w:r>
    </w:p>
    <w:p w:rsidR="008C2C04" w:rsidRPr="00AD6F96" w:rsidRDefault="008C2C04" w:rsidP="009E0189">
      <w:pPr>
        <w:jc w:val="both"/>
        <w:rPr>
          <w:rFonts w:ascii="Candara" w:hAnsi="Candara" w:cstheme="minorHAnsi"/>
          <w:sz w:val="28"/>
          <w:szCs w:val="28"/>
        </w:rPr>
      </w:pPr>
      <w:r>
        <w:rPr>
          <w:rFonts w:ascii="Candara" w:hAnsi="Candara" w:cstheme="minorHAnsi"/>
          <w:sz w:val="28"/>
          <w:szCs w:val="28"/>
        </w:rPr>
        <w:t xml:space="preserve">M. </w:t>
      </w:r>
      <w:r w:rsidRPr="00C9275F">
        <w:rPr>
          <w:rFonts w:ascii="Candara" w:hAnsi="Candara" w:cstheme="minorHAnsi"/>
          <w:sz w:val="28"/>
          <w:szCs w:val="28"/>
        </w:rPr>
        <w:t>Abderrahim Chaffai</w:t>
      </w:r>
      <w:r>
        <w:rPr>
          <w:rFonts w:ascii="Candara" w:hAnsi="Candara" w:cstheme="minorHAnsi"/>
          <w:sz w:val="28"/>
          <w:szCs w:val="28"/>
        </w:rPr>
        <w:t xml:space="preserve"> a par ailleurs précisé que le nombre des bénéficiaires de </w:t>
      </w:r>
      <w:r w:rsidRPr="00AD6F96">
        <w:rPr>
          <w:rFonts w:ascii="Candara" w:hAnsi="Candara" w:cstheme="minorHAnsi"/>
          <w:sz w:val="28"/>
          <w:szCs w:val="28"/>
        </w:rPr>
        <w:t>l’Assurance maladie obligatoire de base a atteint 17 millions de salariés, de titulaires de pensions et des ayants droits des régimes des secteurs public et privé ainsi que des régimes des étudiants et des travailleurs non-salariés, contre 11,9 millions en 2022, soit une augmentation de 43,5% à la suite de l’ajout des bénéficiaires du régime AMO-TNS. Aussi, le nombre de cotisants dans ces régimes a augmenté de 51% par rapport à l'an dernier pour atteindre 8,3 millions.</w:t>
      </w:r>
      <w:r w:rsidR="00AD6F96" w:rsidRPr="00AD6F96">
        <w:rPr>
          <w:rFonts w:ascii="Candara" w:hAnsi="Candara" w:cstheme="minorHAnsi"/>
          <w:sz w:val="28"/>
          <w:szCs w:val="28"/>
        </w:rPr>
        <w:t xml:space="preserve"> </w:t>
      </w:r>
    </w:p>
    <w:sectPr w:rsidR="008C2C04" w:rsidRPr="00AD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5F"/>
    <w:rsid w:val="00127F75"/>
    <w:rsid w:val="002E3D86"/>
    <w:rsid w:val="002E6441"/>
    <w:rsid w:val="0044079D"/>
    <w:rsid w:val="00564390"/>
    <w:rsid w:val="00766060"/>
    <w:rsid w:val="008C2C04"/>
    <w:rsid w:val="009E0189"/>
    <w:rsid w:val="00AD6F96"/>
    <w:rsid w:val="00C9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8AA05-86E2-442E-AB14-769C35EE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BENBRAHIM</dc:creator>
  <cp:keywords/>
  <dc:description/>
  <cp:lastModifiedBy>Sara Idouissaaden</cp:lastModifiedBy>
  <cp:revision>5</cp:revision>
  <dcterms:created xsi:type="dcterms:W3CDTF">2024-12-12T13:33:00Z</dcterms:created>
  <dcterms:modified xsi:type="dcterms:W3CDTF">2024-12-12T16:25:00Z</dcterms:modified>
</cp:coreProperties>
</file>