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59" w:rsidRDefault="00861559" w:rsidP="00A10728">
      <w:pPr>
        <w:spacing w:line="360" w:lineRule="auto"/>
        <w:jc w:val="center"/>
        <w:rPr>
          <w:rFonts w:ascii="Book Antiqua" w:hAnsi="Book Antiqua" w:cs="Calibri"/>
          <w:b/>
          <w:bCs/>
          <w:color w:val="C0504D"/>
          <w:sz w:val="28"/>
          <w:szCs w:val="28"/>
        </w:rPr>
      </w:pPr>
    </w:p>
    <w:p w:rsidR="00164B91" w:rsidRPr="00D46DC0" w:rsidRDefault="00A10728" w:rsidP="008D603F">
      <w:pPr>
        <w:jc w:val="center"/>
        <w:rPr>
          <w:rFonts w:ascii="Book Antiqua" w:hAnsi="Book Antiqua" w:cs="Calibri"/>
          <w:b/>
          <w:bCs/>
          <w:color w:val="C0504D"/>
          <w:sz w:val="30"/>
          <w:szCs w:val="30"/>
        </w:rPr>
      </w:pPr>
      <w:r w:rsidRPr="00D46DC0">
        <w:rPr>
          <w:rFonts w:ascii="Book Antiqua" w:hAnsi="Book Antiqua" w:cs="Calibri"/>
          <w:b/>
          <w:bCs/>
          <w:color w:val="C0504D"/>
          <w:sz w:val="30"/>
          <w:szCs w:val="30"/>
        </w:rPr>
        <w:t xml:space="preserve">Note </w:t>
      </w:r>
      <w:r w:rsidR="00164B91" w:rsidRPr="00D46DC0">
        <w:rPr>
          <w:rFonts w:ascii="Book Antiqua" w:hAnsi="Book Antiqua" w:cs="Calibri"/>
          <w:b/>
          <w:bCs/>
          <w:color w:val="C0504D"/>
          <w:sz w:val="30"/>
          <w:szCs w:val="30"/>
        </w:rPr>
        <w:t>d’information</w:t>
      </w:r>
    </w:p>
    <w:p w:rsidR="00A10728" w:rsidRPr="00D46DC0" w:rsidRDefault="00A10728" w:rsidP="008D603F">
      <w:pPr>
        <w:jc w:val="center"/>
        <w:rPr>
          <w:rFonts w:ascii="Book Antiqua" w:hAnsi="Book Antiqua" w:cs="Calibri"/>
          <w:b/>
          <w:bCs/>
          <w:color w:val="C0504D"/>
          <w:sz w:val="30"/>
          <w:szCs w:val="30"/>
        </w:rPr>
      </w:pPr>
      <w:r w:rsidRPr="00D46DC0">
        <w:rPr>
          <w:rFonts w:ascii="Book Antiqua" w:hAnsi="Book Antiqua" w:cs="Calibri"/>
          <w:b/>
          <w:bCs/>
          <w:color w:val="C0504D"/>
          <w:sz w:val="30"/>
          <w:szCs w:val="30"/>
        </w:rPr>
        <w:t xml:space="preserve">du Haut-commissariat au Plan à l’occasion de la </w:t>
      </w:r>
    </w:p>
    <w:p w:rsidR="00A10728" w:rsidRPr="00D46DC0" w:rsidRDefault="00A10728" w:rsidP="008D603F">
      <w:pPr>
        <w:jc w:val="center"/>
        <w:rPr>
          <w:rFonts w:ascii="Book Antiqua" w:hAnsi="Book Antiqua" w:cs="Calibri"/>
          <w:b/>
          <w:bCs/>
          <w:color w:val="C0504D"/>
          <w:sz w:val="30"/>
          <w:szCs w:val="30"/>
        </w:rPr>
      </w:pPr>
      <w:r w:rsidRPr="00D46DC0">
        <w:rPr>
          <w:rFonts w:ascii="Book Antiqua" w:hAnsi="Book Antiqua" w:cs="Calibri"/>
          <w:b/>
          <w:bCs/>
          <w:color w:val="C0504D"/>
          <w:sz w:val="30"/>
          <w:szCs w:val="30"/>
        </w:rPr>
        <w:t>Journée mondiale contre le travail des enfants</w:t>
      </w:r>
    </w:p>
    <w:p w:rsidR="00A10728" w:rsidRPr="00C11A08" w:rsidRDefault="00A10728" w:rsidP="00A10728">
      <w:pPr>
        <w:jc w:val="center"/>
        <w:rPr>
          <w:rFonts w:ascii="Book Antiqua" w:hAnsi="Book Antiqua" w:cs="Calibri"/>
          <w:color w:val="C0504D"/>
          <w:sz w:val="16"/>
          <w:szCs w:val="16"/>
        </w:rPr>
      </w:pPr>
    </w:p>
    <w:p w:rsidR="0005704A" w:rsidRPr="002C0DD9" w:rsidRDefault="00A10728" w:rsidP="00164B91">
      <w:pPr>
        <w:pStyle w:val="Titre2"/>
        <w:shd w:val="clear" w:color="auto" w:fill="FFFFFF"/>
        <w:spacing w:before="240" w:beforeAutospacing="0" w:after="240" w:afterAutospacing="0"/>
        <w:jc w:val="both"/>
        <w:rPr>
          <w:rFonts w:ascii="Book Antiqua" w:hAnsi="Book Antiqua"/>
          <w:color w:val="0070C0"/>
          <w:sz w:val="24"/>
          <w:szCs w:val="24"/>
        </w:rPr>
      </w:pPr>
      <w:r w:rsidRPr="002C0DD9">
        <w:rPr>
          <w:rFonts w:ascii="Book Antiqua" w:hAnsi="Book Antiqua"/>
          <w:color w:val="0070C0"/>
          <w:sz w:val="24"/>
          <w:szCs w:val="24"/>
        </w:rPr>
        <w:t>Le 12 juin 2024, le monde entier célèbre la Journée mondiale de lutte contre le travail des enfants, une occasion importante de sensibiliser à ce phénomène et de travailler ensemble pour y mettre fin.</w:t>
      </w:r>
    </w:p>
    <w:p w:rsidR="002843B3" w:rsidRPr="008D603F" w:rsidRDefault="009804D4" w:rsidP="00236948">
      <w:pPr>
        <w:shd w:val="clear" w:color="auto" w:fill="FFFFFF"/>
        <w:spacing w:before="240" w:line="276" w:lineRule="auto"/>
        <w:jc w:val="both"/>
        <w:rPr>
          <w:rFonts w:ascii="Book Antiqua" w:hAnsi="Book Antiqua"/>
          <w:b/>
          <w:bCs/>
          <w:color w:val="0070C0"/>
        </w:rPr>
      </w:pPr>
      <w:r>
        <w:rPr>
          <w:rFonts w:ascii="Book Antiqua" w:hAnsi="Book Antiqua"/>
          <w:b/>
          <w:bCs/>
          <w:color w:val="0070C0"/>
        </w:rPr>
        <w:t xml:space="preserve">Les </w:t>
      </w:r>
      <w:r w:rsidRPr="00236948">
        <w:rPr>
          <w:rFonts w:ascii="Book Antiqua" w:hAnsi="Book Antiqua"/>
          <w:b/>
          <w:bCs/>
          <w:color w:val="0070C0"/>
        </w:rPr>
        <w:t xml:space="preserve">enfants au travail </w:t>
      </w:r>
      <w:r w:rsidR="008D603F">
        <w:rPr>
          <w:rFonts w:ascii="Book Antiqua" w:hAnsi="Book Antiqua"/>
          <w:b/>
          <w:bCs/>
          <w:color w:val="0070C0"/>
        </w:rPr>
        <w:t xml:space="preserve">au Maroc : </w:t>
      </w:r>
      <w:r w:rsidR="00236948">
        <w:rPr>
          <w:rFonts w:ascii="Book Antiqua" w:hAnsi="Book Antiqua"/>
          <w:b/>
          <w:bCs/>
          <w:color w:val="0070C0"/>
        </w:rPr>
        <w:t xml:space="preserve">phénomène en </w:t>
      </w:r>
      <w:r w:rsidR="008D603F">
        <w:rPr>
          <w:rFonts w:ascii="Book Antiqua" w:hAnsi="Book Antiqua"/>
          <w:b/>
          <w:bCs/>
          <w:color w:val="0070C0"/>
          <w:lang w:bidi="tzm-Arab-MA"/>
        </w:rPr>
        <w:t>bai</w:t>
      </w:r>
      <w:r w:rsidR="00236948">
        <w:rPr>
          <w:rFonts w:ascii="Book Antiqua" w:hAnsi="Book Antiqua"/>
          <w:b/>
          <w:bCs/>
          <w:color w:val="0070C0"/>
        </w:rPr>
        <w:t>sse.</w:t>
      </w:r>
    </w:p>
    <w:p w:rsidR="0005704A" w:rsidRDefault="00A10728" w:rsidP="002843B3">
      <w:pPr>
        <w:pStyle w:val="Titre2"/>
        <w:shd w:val="clear" w:color="auto" w:fill="FFFFFF"/>
        <w:spacing w:before="240" w:beforeAutospacing="0" w:after="240" w:afterAutospacing="0"/>
        <w:jc w:val="both"/>
        <w:rPr>
          <w:rFonts w:ascii="Book Antiqua" w:hAnsi="Book Antiqua"/>
          <w:b w:val="0"/>
          <w:bCs w:val="0"/>
          <w:sz w:val="24"/>
          <w:szCs w:val="24"/>
        </w:rPr>
      </w:pPr>
      <w:r w:rsidRPr="0005704A">
        <w:rPr>
          <w:rFonts w:ascii="Book Antiqua" w:hAnsi="Book Antiqua"/>
          <w:b w:val="0"/>
          <w:bCs w:val="0"/>
          <w:sz w:val="24"/>
          <w:szCs w:val="24"/>
        </w:rPr>
        <w:t xml:space="preserve">En 2023, parmi les 7.775.000 enfants âgés de 7 à 17 ans, 110.000 </w:t>
      </w:r>
      <w:r w:rsidR="002C0DD9">
        <w:rPr>
          <w:rFonts w:ascii="Book Antiqua" w:hAnsi="Book Antiqua"/>
          <w:b w:val="0"/>
          <w:bCs w:val="0"/>
          <w:sz w:val="24"/>
          <w:szCs w:val="24"/>
        </w:rPr>
        <w:t xml:space="preserve">enfants </w:t>
      </w:r>
      <w:r w:rsidRPr="0005704A">
        <w:rPr>
          <w:rFonts w:ascii="Book Antiqua" w:hAnsi="Book Antiqua"/>
          <w:b w:val="0"/>
          <w:bCs w:val="0"/>
          <w:sz w:val="24"/>
          <w:szCs w:val="24"/>
        </w:rPr>
        <w:t>étaient engagés dans une activité économique, ce qui représente 1,4</w:t>
      </w:r>
      <w:bookmarkStart w:id="0" w:name="_GoBack"/>
      <w:bookmarkEnd w:id="0"/>
      <w:r w:rsidRPr="0005704A">
        <w:rPr>
          <w:rFonts w:ascii="Book Antiqua" w:hAnsi="Book Antiqua"/>
          <w:b w:val="0"/>
          <w:bCs w:val="0"/>
          <w:sz w:val="24"/>
          <w:szCs w:val="24"/>
        </w:rPr>
        <w:t xml:space="preserve">% de cette tranche d'âge. Cette part est de </w:t>
      </w:r>
      <w:r w:rsidR="0075151E" w:rsidRPr="0005704A">
        <w:rPr>
          <w:rFonts w:ascii="Book Antiqua" w:hAnsi="Book Antiqua"/>
          <w:b w:val="0"/>
          <w:bCs w:val="0"/>
          <w:sz w:val="24"/>
          <w:szCs w:val="24"/>
        </w:rPr>
        <w:t>2,8</w:t>
      </w:r>
      <w:r w:rsidRPr="0005704A">
        <w:rPr>
          <w:rFonts w:ascii="Book Antiqua" w:hAnsi="Book Antiqua"/>
          <w:b w:val="0"/>
          <w:bCs w:val="0"/>
          <w:sz w:val="24"/>
          <w:szCs w:val="24"/>
        </w:rPr>
        <w:t xml:space="preserve">% en milieu rural (88.000 enfants) et </w:t>
      </w:r>
      <w:r w:rsidR="0075151E" w:rsidRPr="0005704A">
        <w:rPr>
          <w:rFonts w:ascii="Book Antiqua" w:hAnsi="Book Antiqua"/>
          <w:b w:val="0"/>
          <w:bCs w:val="0"/>
          <w:sz w:val="24"/>
          <w:szCs w:val="24"/>
        </w:rPr>
        <w:t>0,5</w:t>
      </w:r>
      <w:r w:rsidRPr="0005704A">
        <w:rPr>
          <w:rFonts w:ascii="Book Antiqua" w:hAnsi="Book Antiqua"/>
          <w:b w:val="0"/>
          <w:bCs w:val="0"/>
          <w:sz w:val="24"/>
          <w:szCs w:val="24"/>
        </w:rPr>
        <w:t>% en milieu urbain (22.000 enfants).</w:t>
      </w:r>
    </w:p>
    <w:p w:rsidR="00164B91" w:rsidRDefault="00A10728" w:rsidP="00164B91">
      <w:pPr>
        <w:pStyle w:val="Titre2"/>
        <w:shd w:val="clear" w:color="auto" w:fill="FFFFFF"/>
        <w:spacing w:before="240" w:beforeAutospacing="0" w:after="240" w:afterAutospacing="0"/>
        <w:jc w:val="both"/>
        <w:rPr>
          <w:rFonts w:ascii="Book Antiqua" w:hAnsi="Book Antiqua"/>
          <w:b w:val="0"/>
          <w:bCs w:val="0"/>
          <w:sz w:val="24"/>
          <w:szCs w:val="24"/>
        </w:rPr>
      </w:pPr>
      <w:r w:rsidRPr="0005704A">
        <w:rPr>
          <w:rFonts w:ascii="Book Antiqua" w:hAnsi="Book Antiqua"/>
          <w:b w:val="0"/>
          <w:bCs w:val="0"/>
          <w:sz w:val="24"/>
          <w:szCs w:val="24"/>
        </w:rPr>
        <w:t>Le phénomène des enfants au travail est plus répandu parmi les garçons que parmi les filles, et il est souvent associé à la déscolarisation. Ainsi, 85,6% des enfants au travail sont de sexe masculin, 91,5% ont entre 15 et 17 ans et 79,9% vivent en milieu rural. De plus, 8,6% parmi eux sont encore scolarisés, 89,1% ont quitté l'école et 2,3% ne l’ont jamais fréquentée.</w:t>
      </w:r>
    </w:p>
    <w:p w:rsidR="00A10728" w:rsidRPr="0005704A" w:rsidRDefault="00A10728" w:rsidP="00164B91">
      <w:pPr>
        <w:pStyle w:val="Titre2"/>
        <w:shd w:val="clear" w:color="auto" w:fill="FFFFFF"/>
        <w:spacing w:before="240" w:beforeAutospacing="0" w:after="240" w:afterAutospacing="0"/>
        <w:jc w:val="both"/>
        <w:rPr>
          <w:rFonts w:ascii="Book Antiqua" w:hAnsi="Book Antiqua"/>
          <w:b w:val="0"/>
          <w:bCs w:val="0"/>
          <w:sz w:val="24"/>
          <w:szCs w:val="24"/>
          <w:rtl/>
        </w:rPr>
      </w:pPr>
      <w:r w:rsidRPr="0005704A">
        <w:rPr>
          <w:rFonts w:ascii="Book Antiqua" w:hAnsi="Book Antiqua"/>
          <w:b w:val="0"/>
          <w:bCs w:val="0"/>
          <w:sz w:val="24"/>
          <w:szCs w:val="24"/>
        </w:rPr>
        <w:t xml:space="preserve">Le nombre des enfants au travail </w:t>
      </w:r>
      <w:r w:rsidR="00164B91">
        <w:rPr>
          <w:rFonts w:ascii="Book Antiqua" w:hAnsi="Book Antiqua"/>
          <w:b w:val="0"/>
          <w:bCs w:val="0"/>
          <w:sz w:val="24"/>
          <w:szCs w:val="24"/>
        </w:rPr>
        <w:t>continue sa tendance baissière. Ainsi</w:t>
      </w:r>
      <w:r w:rsidRPr="0005704A">
        <w:rPr>
          <w:rFonts w:ascii="Book Antiqua" w:hAnsi="Book Antiqua"/>
          <w:b w:val="0"/>
          <w:bCs w:val="0"/>
          <w:sz w:val="24"/>
          <w:szCs w:val="24"/>
        </w:rPr>
        <w:t>, par rapport à 2022, cet effectif a baissé de 13,4% et de 55,5% par rapport à 2017.</w:t>
      </w:r>
    </w:p>
    <w:p w:rsidR="00A10728" w:rsidRPr="00236948" w:rsidRDefault="00A10728" w:rsidP="00A10728">
      <w:pPr>
        <w:shd w:val="clear" w:color="auto" w:fill="FFFFFF"/>
        <w:spacing w:before="240" w:line="276" w:lineRule="auto"/>
        <w:jc w:val="center"/>
        <w:rPr>
          <w:rFonts w:ascii="Book Antiqua" w:hAnsi="Book Antiqua"/>
          <w:b/>
          <w:bCs/>
          <w:color w:val="0070C0"/>
        </w:rPr>
      </w:pPr>
      <w:r w:rsidRPr="00236948">
        <w:rPr>
          <w:rFonts w:ascii="Book Antiqua" w:hAnsi="Book Antiqua"/>
          <w:b/>
          <w:bCs/>
          <w:color w:val="0070C0"/>
        </w:rPr>
        <w:t>Évolution du nombre des enfants au travail selon le milieu de résidence depuis 2017 (en millier</w:t>
      </w:r>
      <w:r w:rsidR="0005704A" w:rsidRPr="00236948">
        <w:rPr>
          <w:rFonts w:ascii="Book Antiqua" w:hAnsi="Book Antiqua"/>
          <w:b/>
          <w:bCs/>
          <w:color w:val="0070C0"/>
        </w:rPr>
        <w:t>s</w:t>
      </w:r>
      <w:r w:rsidRPr="00236948">
        <w:rPr>
          <w:rFonts w:ascii="Book Antiqua" w:hAnsi="Book Antiqua"/>
          <w:b/>
          <w:bCs/>
          <w:color w:val="0070C0"/>
        </w:rPr>
        <w:t>)</w:t>
      </w:r>
    </w:p>
    <w:p w:rsidR="00A10728" w:rsidRPr="003F77B8" w:rsidRDefault="00A10728" w:rsidP="00A10728">
      <w:pPr>
        <w:shd w:val="clear" w:color="auto" w:fill="FFFFFF"/>
        <w:spacing w:before="240" w:line="276" w:lineRule="auto"/>
        <w:jc w:val="center"/>
        <w:rPr>
          <w:rFonts w:ascii="Book Antiqua" w:hAnsi="Book Antiqua"/>
          <w:b/>
          <w:bCs/>
          <w:sz w:val="20"/>
          <w:szCs w:val="20"/>
        </w:rPr>
      </w:pPr>
      <w:r w:rsidRPr="001B2760">
        <w:rPr>
          <w:noProof/>
        </w:rPr>
        <w:drawing>
          <wp:inline distT="0" distB="0" distL="0" distR="0">
            <wp:extent cx="4591685" cy="2032000"/>
            <wp:effectExtent l="0" t="0" r="0"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36948" w:rsidRDefault="00236948">
      <w:pPr>
        <w:spacing w:after="160" w:line="259" w:lineRule="auto"/>
        <w:rPr>
          <w:rFonts w:ascii="Book Antiqua" w:hAnsi="Book Antiqua"/>
          <w:b/>
          <w:bCs/>
          <w:color w:val="44546A" w:themeColor="text2"/>
        </w:rPr>
      </w:pPr>
      <w:r>
        <w:rPr>
          <w:rFonts w:ascii="Book Antiqua" w:hAnsi="Book Antiqua"/>
          <w:b/>
          <w:bCs/>
          <w:color w:val="44546A" w:themeColor="text2"/>
        </w:rPr>
        <w:br w:type="page"/>
      </w:r>
    </w:p>
    <w:p w:rsidR="00E01ED3" w:rsidRPr="00236948" w:rsidRDefault="00A10728" w:rsidP="00236948">
      <w:pPr>
        <w:shd w:val="clear" w:color="auto" w:fill="FFFFFF"/>
        <w:spacing w:before="240" w:line="276" w:lineRule="auto"/>
        <w:rPr>
          <w:rFonts w:ascii="Book Antiqua" w:hAnsi="Book Antiqua"/>
          <w:b/>
          <w:bCs/>
          <w:color w:val="0070C0"/>
        </w:rPr>
      </w:pPr>
      <w:r w:rsidRPr="00236948">
        <w:rPr>
          <w:rFonts w:ascii="Book Antiqua" w:hAnsi="Book Antiqua"/>
          <w:b/>
          <w:bCs/>
          <w:color w:val="0070C0"/>
        </w:rPr>
        <w:lastRenderedPageBreak/>
        <w:t>Les enfants au travail se concentrent au secteur de l’</w:t>
      </w:r>
      <w:r w:rsidR="00C11FFF" w:rsidRPr="00236948">
        <w:rPr>
          <w:rFonts w:ascii="Book Antiqua" w:hAnsi="Book Antiqua"/>
          <w:b/>
          <w:bCs/>
          <w:color w:val="0070C0"/>
        </w:rPr>
        <w:t>a</w:t>
      </w:r>
      <w:r w:rsidRPr="00236948">
        <w:rPr>
          <w:rFonts w:ascii="Book Antiqua" w:hAnsi="Book Antiqua"/>
          <w:b/>
          <w:bCs/>
          <w:color w:val="0070C0"/>
        </w:rPr>
        <w:t xml:space="preserve">griculture </w:t>
      </w:r>
    </w:p>
    <w:p w:rsidR="00593445" w:rsidRPr="0023772A" w:rsidRDefault="00593445" w:rsidP="009001FA">
      <w:pPr>
        <w:shd w:val="clear" w:color="auto" w:fill="FFFFFF"/>
        <w:spacing w:before="240" w:line="276" w:lineRule="auto"/>
        <w:jc w:val="both"/>
      </w:pPr>
      <w:r w:rsidRPr="0023772A">
        <w:t>Le phénomène reste concentré dans certains secteurs économiques et diffère selon le milieu de résidence. Ainsi, en milieu rural, ils sont 74,1% à travailler dans l’"agriculture, forêt et pêche". En zones urbaines, les "services", avec 51%, et l’"industrie", avec 28,1%, sont les principaux secteurs employeurs d’enfants.</w:t>
      </w:r>
    </w:p>
    <w:p w:rsidR="00E01ED3" w:rsidRPr="0023772A" w:rsidRDefault="00593445" w:rsidP="00164B91">
      <w:pPr>
        <w:shd w:val="clear" w:color="auto" w:fill="FFFFFF"/>
        <w:spacing w:before="240" w:line="276" w:lineRule="auto"/>
        <w:jc w:val="both"/>
      </w:pPr>
      <w:r w:rsidRPr="0023772A">
        <w:t xml:space="preserve">Près de </w:t>
      </w:r>
      <w:r w:rsidR="00164B91">
        <w:t xml:space="preserve">six </w:t>
      </w:r>
      <w:r w:rsidRPr="0023772A">
        <w:t xml:space="preserve">enfants au travail </w:t>
      </w:r>
      <w:r w:rsidR="00164B91">
        <w:t xml:space="preserve">sur dix en milieu </w:t>
      </w:r>
      <w:r w:rsidRPr="0023772A">
        <w:t>rura</w:t>
      </w:r>
      <w:r w:rsidR="00164B91">
        <w:t xml:space="preserve">l </w:t>
      </w:r>
      <w:r w:rsidRPr="0023772A">
        <w:t>sont des aides familiales (60,8%) ; en milieu urbain, 56,9% des enfants au travail sont des salariés, 28,6% des apprentis et 14</w:t>
      </w:r>
      <w:r w:rsidRPr="0023772A">
        <w:rPr>
          <w:vanish/>
        </w:rPr>
        <w:t>8,9</w:t>
      </w:r>
      <w:r w:rsidRPr="0023772A">
        <w:rPr>
          <w:vanish/>
          <w:rtl/>
        </w:rPr>
        <w:t>ةؤشرات عمل الأطفال والجنس وا</w:t>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rPr>
          <w:vanish/>
        </w:rPr>
        <w:pgNum/>
      </w:r>
      <w:r w:rsidRPr="0023772A">
        <w:t>% des aides familiales.</w:t>
      </w:r>
    </w:p>
    <w:p w:rsidR="00E01ED3" w:rsidRPr="00236948" w:rsidRDefault="0005704A" w:rsidP="00236948">
      <w:pPr>
        <w:shd w:val="clear" w:color="auto" w:fill="FFFFFF"/>
        <w:spacing w:before="240" w:line="276" w:lineRule="auto"/>
        <w:rPr>
          <w:rFonts w:ascii="Book Antiqua" w:hAnsi="Book Antiqua"/>
          <w:b/>
          <w:bCs/>
          <w:color w:val="0070C0"/>
        </w:rPr>
      </w:pPr>
      <w:r w:rsidRPr="00236948">
        <w:rPr>
          <w:rFonts w:ascii="Book Antiqua" w:hAnsi="Book Antiqua"/>
          <w:b/>
          <w:bCs/>
          <w:color w:val="0070C0"/>
        </w:rPr>
        <w:t xml:space="preserve">Près de </w:t>
      </w:r>
      <w:r w:rsidR="00E01ED3" w:rsidRPr="00236948">
        <w:rPr>
          <w:rFonts w:ascii="Book Antiqua" w:hAnsi="Book Antiqua"/>
          <w:b/>
          <w:bCs/>
          <w:color w:val="0070C0"/>
        </w:rPr>
        <w:t xml:space="preserve">six enfants au travail sur dix accomplissent des travaux dangereux  </w:t>
      </w:r>
    </w:p>
    <w:p w:rsidR="00E01ED3" w:rsidRPr="00C274CB" w:rsidRDefault="00164B91" w:rsidP="00164B91">
      <w:pPr>
        <w:shd w:val="clear" w:color="auto" w:fill="FFFFFF" w:themeFill="background1"/>
        <w:spacing w:before="240" w:line="276" w:lineRule="auto"/>
        <w:jc w:val="both"/>
        <w:rPr>
          <w:rFonts w:ascii="Book Antiqua" w:hAnsi="Book Antiqua"/>
        </w:rPr>
      </w:pPr>
      <w:r>
        <w:rPr>
          <w:rFonts w:ascii="Book Antiqua" w:hAnsi="Book Antiqua"/>
        </w:rPr>
        <w:t xml:space="preserve">Près de </w:t>
      </w:r>
      <w:r w:rsidR="00E01ED3" w:rsidRPr="00C274CB">
        <w:rPr>
          <w:rFonts w:ascii="Book Antiqua" w:hAnsi="Book Antiqua"/>
        </w:rPr>
        <w:t>six enfants au travail sur dix (63,3%) accomplissent des travaux dangereux</w:t>
      </w:r>
      <w:r w:rsidR="00E01ED3" w:rsidRPr="009001FA">
        <w:rPr>
          <w:rFonts w:ascii="Book Antiqua" w:hAnsi="Book Antiqua"/>
          <w:vertAlign w:val="superscript"/>
        </w:rPr>
        <w:footnoteReference w:id="1"/>
      </w:r>
      <w:r w:rsidR="00E01ED3" w:rsidRPr="00C274CB">
        <w:rPr>
          <w:rFonts w:ascii="Book Antiqua" w:hAnsi="Book Antiqua"/>
        </w:rPr>
        <w:t xml:space="preserve"> (69.000 enfants), ce qui représente 0,9% des enfants de cette tranche d’âge. Parmi les enfants exerçant des formes de travail dangereux, 74% sont </w:t>
      </w:r>
      <w:r>
        <w:rPr>
          <w:rFonts w:ascii="Book Antiqua" w:hAnsi="Book Antiqua"/>
        </w:rPr>
        <w:t>résident en milieu rural</w:t>
      </w:r>
      <w:r w:rsidR="00E01ED3" w:rsidRPr="00C274CB">
        <w:rPr>
          <w:rFonts w:ascii="Book Antiqua" w:hAnsi="Book Antiqua"/>
        </w:rPr>
        <w:t>, 91,2% de sexe masculin et 87,9% âgés de 15 à 17 ans.</w:t>
      </w:r>
    </w:p>
    <w:p w:rsidR="00E01ED3" w:rsidRPr="00861559" w:rsidRDefault="00E01ED3" w:rsidP="00861559">
      <w:pPr>
        <w:shd w:val="clear" w:color="auto" w:fill="FFFFFF" w:themeFill="background1"/>
        <w:spacing w:before="240" w:line="276" w:lineRule="auto"/>
        <w:jc w:val="both"/>
        <w:rPr>
          <w:rFonts w:ascii="Book Antiqua" w:hAnsi="Book Antiqua"/>
        </w:rPr>
      </w:pPr>
      <w:r w:rsidRPr="00C274CB">
        <w:rPr>
          <w:rFonts w:ascii="Book Antiqua" w:hAnsi="Book Antiqua"/>
        </w:rPr>
        <w:t>Les enfants exerçant dans le secteur des BTP restent les plus exposés aux dangers, avec une part de 80,8%. Cette proportion est de 79,3% dans le secteur de l’"industr</w:t>
      </w:r>
      <w:r w:rsidR="00164B91">
        <w:rPr>
          <w:rFonts w:ascii="Book Antiqua" w:hAnsi="Book Antiqua"/>
        </w:rPr>
        <w:t xml:space="preserve">ie", 77,7% dans les "services" </w:t>
      </w:r>
      <w:r w:rsidRPr="00C274CB">
        <w:rPr>
          <w:rFonts w:ascii="Book Antiqua" w:hAnsi="Book Antiqua"/>
        </w:rPr>
        <w:t>et de 53% dans l’"agriculture, forêt et pêche".</w:t>
      </w:r>
    </w:p>
    <w:p w:rsidR="00861559" w:rsidRPr="00236948" w:rsidRDefault="00861559" w:rsidP="00861559">
      <w:pPr>
        <w:shd w:val="clear" w:color="auto" w:fill="FFFFFF" w:themeFill="background1"/>
        <w:spacing w:before="240" w:line="276" w:lineRule="auto"/>
        <w:jc w:val="both"/>
        <w:rPr>
          <w:rFonts w:ascii="Book Antiqua" w:hAnsi="Book Antiqua"/>
          <w:b/>
          <w:bCs/>
          <w:color w:val="0070C0"/>
        </w:rPr>
      </w:pPr>
      <w:r w:rsidRPr="00236948">
        <w:rPr>
          <w:rFonts w:ascii="Book Antiqua" w:hAnsi="Book Antiqua"/>
          <w:b/>
          <w:bCs/>
          <w:color w:val="0070C0"/>
        </w:rPr>
        <w:t>Le cadre familial des enfants au travail</w:t>
      </w:r>
    </w:p>
    <w:p w:rsidR="00861559" w:rsidRPr="00DF2AC8" w:rsidRDefault="00861559" w:rsidP="00C274CB">
      <w:pPr>
        <w:shd w:val="clear" w:color="auto" w:fill="FFFFFF" w:themeFill="background1"/>
        <w:spacing w:before="240" w:line="276" w:lineRule="auto"/>
        <w:jc w:val="both"/>
        <w:rPr>
          <w:rFonts w:ascii="Book Antiqua" w:hAnsi="Book Antiqua"/>
        </w:rPr>
      </w:pPr>
      <w:r w:rsidRPr="00DF2AC8">
        <w:rPr>
          <w:rFonts w:ascii="Book Antiqua" w:hAnsi="Book Antiqua"/>
        </w:rPr>
        <w:t xml:space="preserve">Le phénomène des enfants au travail a concerné </w:t>
      </w:r>
      <w:r w:rsidRPr="00DF2AC8">
        <w:rPr>
          <w:rFonts w:ascii="Book Antiqua" w:hAnsi="Book Antiqua" w:hint="cs"/>
          <w:rtl/>
        </w:rPr>
        <w:t>77</w:t>
      </w:r>
      <w:r w:rsidRPr="00DF2AC8">
        <w:rPr>
          <w:rFonts w:ascii="Book Antiqua" w:hAnsi="Book Antiqua"/>
        </w:rPr>
        <w:t>.000 ménages, ou environ 1% des ménages marocains, concentrés dans les zones rurales (5</w:t>
      </w:r>
      <w:r w:rsidR="00C274CB">
        <w:rPr>
          <w:rFonts w:ascii="Book Antiqua" w:hAnsi="Book Antiqua"/>
        </w:rPr>
        <w:t>5</w:t>
      </w:r>
      <w:r w:rsidRPr="00DF2AC8">
        <w:rPr>
          <w:rFonts w:ascii="Book Antiqua" w:hAnsi="Book Antiqua"/>
        </w:rPr>
        <w:t xml:space="preserve">.000 ménages contre 22.000 dans les villes) et près de 8,5% d’entre eux sont dirigés par des femmes.  </w:t>
      </w:r>
    </w:p>
    <w:p w:rsidR="00861559" w:rsidRPr="00DF2AC8" w:rsidRDefault="00861559" w:rsidP="00861559">
      <w:pPr>
        <w:shd w:val="clear" w:color="auto" w:fill="FFFFFF" w:themeFill="background1"/>
        <w:spacing w:before="240" w:line="276" w:lineRule="auto"/>
        <w:jc w:val="both"/>
        <w:rPr>
          <w:rFonts w:ascii="Book Antiqua" w:hAnsi="Book Antiqua"/>
        </w:rPr>
      </w:pPr>
      <w:r w:rsidRPr="00DF2AC8">
        <w:rPr>
          <w:rFonts w:ascii="Book Antiqua" w:hAnsi="Book Antiqua"/>
        </w:rPr>
        <w:t>Ce sont les ménages de grande taille qui restent le plus concernés par le phénomène des enfants au travail. La proportion des ménages ayant au moins un enfant au travail est de 0,4% pour les ménages de trois personnes, et elle augmente progressivement avec la taille pour atteindre 2,5% parmi les ménages de 6 personnes ou plus.</w:t>
      </w:r>
    </w:p>
    <w:p w:rsidR="00861559" w:rsidRPr="00DF2AC8" w:rsidRDefault="00861559" w:rsidP="00861559">
      <w:pPr>
        <w:shd w:val="clear" w:color="auto" w:fill="FFFFFF" w:themeFill="background1"/>
        <w:spacing w:before="240" w:line="276" w:lineRule="auto"/>
        <w:jc w:val="both"/>
        <w:rPr>
          <w:rFonts w:ascii="Book Antiqua" w:hAnsi="Book Antiqua"/>
        </w:rPr>
      </w:pPr>
      <w:r w:rsidRPr="00DF2AC8">
        <w:rPr>
          <w:rFonts w:ascii="Book Antiqua" w:hAnsi="Book Antiqua"/>
        </w:rPr>
        <w:t>Par ailleurs, ce phénomène peut être attribué aux caractéristiques socioprofessionnelles du ménage et de son chef en particulier. Ainsi, la proportion des ménages dont au moins un enfant est au travail est de 1,2% parmi les ménages dont le chef n’a aucun niveau d’instruction alors qu’elle est insignifiante parmi ceux dont le niveau d’instruction est supérieur.</w:t>
      </w:r>
    </w:p>
    <w:p w:rsidR="009001FA" w:rsidRDefault="009001FA">
      <w:pPr>
        <w:spacing w:after="160" w:line="259" w:lineRule="auto"/>
        <w:rPr>
          <w:rFonts w:ascii="Book Antiqua" w:hAnsi="Book Antiqua"/>
        </w:rPr>
      </w:pPr>
      <w:r>
        <w:rPr>
          <w:rFonts w:ascii="Book Antiqua" w:hAnsi="Book Antiqua"/>
        </w:rPr>
        <w:br w:type="page"/>
      </w:r>
    </w:p>
    <w:p w:rsidR="00861559" w:rsidRPr="00DC32D5" w:rsidRDefault="00861559" w:rsidP="00861559">
      <w:pPr>
        <w:shd w:val="clear" w:color="auto" w:fill="FFFFFF"/>
        <w:spacing w:before="240" w:line="146" w:lineRule="atLeast"/>
        <w:jc w:val="both"/>
        <w:rPr>
          <w:rFonts w:ascii="Book Antiqua" w:hAnsi="Book Antiqua"/>
        </w:rPr>
      </w:pPr>
      <w:r w:rsidRPr="00DF2AC8">
        <w:rPr>
          <w:rFonts w:ascii="Book Antiqua" w:hAnsi="Book Antiqua"/>
        </w:rPr>
        <w:lastRenderedPageBreak/>
        <w:t>En outre, 41,5% des enfants au travail sont issus des ménages dirigés par d’exploitants agricoles, 24% par de manœuvres, 20,8% par de cadres moyens, d’employés, de commerçants, de conducteurs d’installations ou d’artisans et 13,6% proviennent des ménages dirigés par d’inactifs. Le phénomène demeure quasi-inexistant au sein des ménages dirigés par de cadres supérieurs.</w:t>
      </w:r>
    </w:p>
    <w:p w:rsidR="00861559" w:rsidRPr="00C274CB" w:rsidRDefault="00861559" w:rsidP="00E01ED3">
      <w:pPr>
        <w:shd w:val="clear" w:color="auto" w:fill="FFFFFF" w:themeFill="background1"/>
        <w:spacing w:before="240" w:line="276" w:lineRule="auto"/>
        <w:jc w:val="both"/>
        <w:rPr>
          <w:b/>
          <w:bCs/>
          <w:sz w:val="36"/>
          <w:szCs w:val="36"/>
        </w:rPr>
      </w:pPr>
    </w:p>
    <w:p w:rsidR="00E01ED3" w:rsidRPr="00C274CB" w:rsidRDefault="00E01ED3" w:rsidP="00A10728">
      <w:pPr>
        <w:shd w:val="clear" w:color="auto" w:fill="FFFFFF"/>
        <w:spacing w:before="240" w:line="276" w:lineRule="auto"/>
        <w:jc w:val="both"/>
        <w:rPr>
          <w:b/>
          <w:bCs/>
          <w:sz w:val="36"/>
          <w:szCs w:val="36"/>
        </w:rPr>
      </w:pPr>
    </w:p>
    <w:p w:rsidR="00E7339A" w:rsidRDefault="00E7339A"/>
    <w:sectPr w:rsidR="00E7339A" w:rsidSect="00D46DC0">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5A" w:rsidRDefault="007B725A" w:rsidP="00E01ED3">
      <w:r>
        <w:separator/>
      </w:r>
    </w:p>
  </w:endnote>
  <w:endnote w:type="continuationSeparator" w:id="0">
    <w:p w:rsidR="007B725A" w:rsidRDefault="007B725A" w:rsidP="00E01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5A" w:rsidRDefault="007B725A" w:rsidP="00E01ED3">
      <w:r>
        <w:separator/>
      </w:r>
    </w:p>
  </w:footnote>
  <w:footnote w:type="continuationSeparator" w:id="0">
    <w:p w:rsidR="007B725A" w:rsidRDefault="007B725A" w:rsidP="00E01ED3">
      <w:r>
        <w:continuationSeparator/>
      </w:r>
    </w:p>
  </w:footnote>
  <w:footnote w:id="1">
    <w:p w:rsidR="00E01ED3" w:rsidRPr="005A1119" w:rsidRDefault="00E01ED3" w:rsidP="00E01ED3">
      <w:pPr>
        <w:pStyle w:val="Notedebasdepage"/>
        <w:jc w:val="both"/>
        <w:rPr>
          <w:rFonts w:ascii="Book Antiqua" w:hAnsi="Book Antiqua"/>
          <w:sz w:val="16"/>
          <w:szCs w:val="18"/>
        </w:rPr>
      </w:pPr>
      <w:r w:rsidRPr="007C4490">
        <w:rPr>
          <w:rStyle w:val="Appelnotedebasdep"/>
          <w:rFonts w:asciiTheme="minorHAnsi" w:hAnsiTheme="minorHAnsi" w:cstheme="minorHAnsi"/>
        </w:rPr>
        <w:footnoteRef/>
      </w:r>
      <w:r w:rsidRPr="005A1119">
        <w:rPr>
          <w:rFonts w:ascii="Book Antiqua" w:hAnsi="Book Antiqua"/>
          <w:sz w:val="16"/>
          <w:szCs w:val="18"/>
        </w:rPr>
        <w:t>Est considéré comme travail dangereux tout travail qui, par sa nature ou par les conditions dans lesquelles il est exercé, est susceptible de nuire à la santé, à la sécurité ou à la moralité de l'enfant, tout travail exercé pendant une durée excessive relativement à l'âge de l’enfant ; ainsi que tout travail dont l'horaire est partiellement ou entièrement de nuit.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C0" w:rsidRDefault="00D46DC0" w:rsidP="00D46DC0">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DC0" w:rsidRDefault="00D46DC0" w:rsidP="00D46DC0">
    <w:pPr>
      <w:pStyle w:val="En-tte"/>
      <w:jc w:val="center"/>
    </w:pPr>
    <w:r w:rsidRPr="00D46DC0">
      <w:drawing>
        <wp:inline distT="0" distB="0" distL="0" distR="0">
          <wp:extent cx="856696" cy="685800"/>
          <wp:effectExtent l="19050" t="0" r="554"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6696" cy="685800"/>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10728"/>
    <w:rsid w:val="0005704A"/>
    <w:rsid w:val="0010299C"/>
    <w:rsid w:val="00164B91"/>
    <w:rsid w:val="001E21A2"/>
    <w:rsid w:val="00225BA7"/>
    <w:rsid w:val="00236948"/>
    <w:rsid w:val="0023772A"/>
    <w:rsid w:val="00256175"/>
    <w:rsid w:val="002843B3"/>
    <w:rsid w:val="002C0DD9"/>
    <w:rsid w:val="002F6DC4"/>
    <w:rsid w:val="00357770"/>
    <w:rsid w:val="0051223D"/>
    <w:rsid w:val="00593445"/>
    <w:rsid w:val="00626DD3"/>
    <w:rsid w:val="00635A06"/>
    <w:rsid w:val="006E37A3"/>
    <w:rsid w:val="0075151E"/>
    <w:rsid w:val="007B725A"/>
    <w:rsid w:val="00861559"/>
    <w:rsid w:val="008D3C9C"/>
    <w:rsid w:val="008D603F"/>
    <w:rsid w:val="009001FA"/>
    <w:rsid w:val="0093158F"/>
    <w:rsid w:val="009804D4"/>
    <w:rsid w:val="00985457"/>
    <w:rsid w:val="00A10728"/>
    <w:rsid w:val="00AE0BFD"/>
    <w:rsid w:val="00B0212D"/>
    <w:rsid w:val="00B17504"/>
    <w:rsid w:val="00B61796"/>
    <w:rsid w:val="00BA6BEF"/>
    <w:rsid w:val="00BB20CE"/>
    <w:rsid w:val="00C11FFF"/>
    <w:rsid w:val="00C274CB"/>
    <w:rsid w:val="00D46DC0"/>
    <w:rsid w:val="00D81AF5"/>
    <w:rsid w:val="00DE1559"/>
    <w:rsid w:val="00E01ED3"/>
    <w:rsid w:val="00E427D7"/>
    <w:rsid w:val="00E7339A"/>
    <w:rsid w:val="00F924F0"/>
    <w:rsid w:val="00FF214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2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05704A"/>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E01ED3"/>
    <w:rPr>
      <w:sz w:val="20"/>
      <w:szCs w:val="20"/>
    </w:rPr>
  </w:style>
  <w:style w:type="character" w:customStyle="1" w:styleId="NotedebasdepageCar">
    <w:name w:val="Note de bas de page Car"/>
    <w:basedOn w:val="Policepardfaut"/>
    <w:link w:val="Notedebasdepage"/>
    <w:uiPriority w:val="99"/>
    <w:semiHidden/>
    <w:rsid w:val="00E01ED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E01ED3"/>
    <w:rPr>
      <w:vertAlign w:val="superscript"/>
    </w:rPr>
  </w:style>
  <w:style w:type="paragraph" w:styleId="Textedebulles">
    <w:name w:val="Balloon Text"/>
    <w:basedOn w:val="Normal"/>
    <w:link w:val="TextedebullesCar"/>
    <w:uiPriority w:val="99"/>
    <w:semiHidden/>
    <w:unhideWhenUsed/>
    <w:rsid w:val="009001FA"/>
    <w:rPr>
      <w:rFonts w:ascii="Tahoma" w:hAnsi="Tahoma" w:cs="Tahoma"/>
      <w:sz w:val="16"/>
      <w:szCs w:val="16"/>
    </w:rPr>
  </w:style>
  <w:style w:type="character" w:customStyle="1" w:styleId="TextedebullesCar">
    <w:name w:val="Texte de bulles Car"/>
    <w:basedOn w:val="Policepardfaut"/>
    <w:link w:val="Textedebulles"/>
    <w:uiPriority w:val="99"/>
    <w:semiHidden/>
    <w:rsid w:val="009001FA"/>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05704A"/>
    <w:rPr>
      <w:rFonts w:ascii="Times New Roman" w:eastAsia="Times New Roman" w:hAnsi="Times New Roman" w:cs="Times New Roman"/>
      <w:b/>
      <w:bCs/>
      <w:sz w:val="36"/>
      <w:szCs w:val="36"/>
      <w:lang w:eastAsia="fr-FR"/>
    </w:rPr>
  </w:style>
  <w:style w:type="paragraph" w:styleId="En-tte">
    <w:name w:val="header"/>
    <w:basedOn w:val="Normal"/>
    <w:link w:val="En-tteCar"/>
    <w:uiPriority w:val="99"/>
    <w:semiHidden/>
    <w:unhideWhenUsed/>
    <w:rsid w:val="00D46DC0"/>
    <w:pPr>
      <w:tabs>
        <w:tab w:val="center" w:pos="4536"/>
        <w:tab w:val="right" w:pos="9072"/>
      </w:tabs>
    </w:pPr>
  </w:style>
  <w:style w:type="character" w:customStyle="1" w:styleId="En-tteCar">
    <w:name w:val="En-tête Car"/>
    <w:basedOn w:val="Policepardfaut"/>
    <w:link w:val="En-tte"/>
    <w:uiPriority w:val="99"/>
    <w:semiHidden/>
    <w:rsid w:val="00D46DC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46DC0"/>
    <w:pPr>
      <w:tabs>
        <w:tab w:val="center" w:pos="4536"/>
        <w:tab w:val="right" w:pos="9072"/>
      </w:tabs>
    </w:pPr>
  </w:style>
  <w:style w:type="character" w:customStyle="1" w:styleId="PieddepageCar">
    <w:name w:val="Pied de page Car"/>
    <w:basedOn w:val="Policepardfaut"/>
    <w:link w:val="Pieddepage"/>
    <w:uiPriority w:val="99"/>
    <w:semiHidden/>
    <w:rsid w:val="00D46DC0"/>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159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jabouzine\Downloads\Draft%20pour%20JM%20Enfants%20au%20travail%2020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scatterChart>
        <c:scatterStyle val="lineMarker"/>
        <c:ser>
          <c:idx val="0"/>
          <c:order val="0"/>
          <c:tx>
            <c:strRef>
              <c:f>graphique!$B$2</c:f>
              <c:strCache>
                <c:ptCount val="1"/>
                <c:pt idx="0">
                  <c:v>National</c:v>
                </c:pt>
              </c:strCache>
            </c:strRef>
          </c:tx>
          <c:spPr>
            <a:ln w="19050" cap="rnd">
              <a:solidFill>
                <a:srgbClr val="0070C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graphique!$A$3:$A$9</c:f>
              <c:numCache>
                <c:formatCode>General</c:formatCode>
                <c:ptCount val="7"/>
                <c:pt idx="0">
                  <c:v>2017</c:v>
                </c:pt>
                <c:pt idx="1">
                  <c:v>2018</c:v>
                </c:pt>
                <c:pt idx="2">
                  <c:v>2019</c:v>
                </c:pt>
                <c:pt idx="3">
                  <c:v>2020</c:v>
                </c:pt>
                <c:pt idx="4">
                  <c:v>2021</c:v>
                </c:pt>
                <c:pt idx="5">
                  <c:v>2022</c:v>
                </c:pt>
                <c:pt idx="6">
                  <c:v>2023</c:v>
                </c:pt>
              </c:numCache>
            </c:numRef>
          </c:xVal>
          <c:yVal>
            <c:numRef>
              <c:f>graphique!$B$3:$B$9</c:f>
              <c:numCache>
                <c:formatCode>General</c:formatCode>
                <c:ptCount val="7"/>
                <c:pt idx="0">
                  <c:v>247</c:v>
                </c:pt>
                <c:pt idx="1">
                  <c:v>231</c:v>
                </c:pt>
                <c:pt idx="2">
                  <c:v>200</c:v>
                </c:pt>
                <c:pt idx="3">
                  <c:v>147</c:v>
                </c:pt>
                <c:pt idx="4">
                  <c:v>148</c:v>
                </c:pt>
                <c:pt idx="5">
                  <c:v>127</c:v>
                </c:pt>
                <c:pt idx="6">
                  <c:v>110</c:v>
                </c:pt>
              </c:numCache>
            </c:numRef>
          </c:yVal>
        </c:ser>
        <c:ser>
          <c:idx val="1"/>
          <c:order val="1"/>
          <c:tx>
            <c:strRef>
              <c:f>graphique!$C$2</c:f>
              <c:strCache>
                <c:ptCount val="1"/>
                <c:pt idx="0">
                  <c:v>Urbain</c:v>
                </c:pt>
              </c:strCache>
            </c:strRef>
          </c:tx>
          <c:spPr>
            <a:ln w="19050"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graphique!$A$3:$A$9</c:f>
              <c:numCache>
                <c:formatCode>General</c:formatCode>
                <c:ptCount val="7"/>
                <c:pt idx="0">
                  <c:v>2017</c:v>
                </c:pt>
                <c:pt idx="1">
                  <c:v>2018</c:v>
                </c:pt>
                <c:pt idx="2">
                  <c:v>2019</c:v>
                </c:pt>
                <c:pt idx="3">
                  <c:v>2020</c:v>
                </c:pt>
                <c:pt idx="4">
                  <c:v>2021</c:v>
                </c:pt>
                <c:pt idx="5">
                  <c:v>2022</c:v>
                </c:pt>
                <c:pt idx="6">
                  <c:v>2023</c:v>
                </c:pt>
              </c:numCache>
            </c:numRef>
          </c:xVal>
          <c:yVal>
            <c:numRef>
              <c:f>graphique!$C$3:$C$9</c:f>
              <c:numCache>
                <c:formatCode>General</c:formatCode>
                <c:ptCount val="7"/>
                <c:pt idx="0">
                  <c:v>45</c:v>
                </c:pt>
                <c:pt idx="1">
                  <c:v>41</c:v>
                </c:pt>
                <c:pt idx="2">
                  <c:v>37</c:v>
                </c:pt>
                <c:pt idx="3">
                  <c:v>28</c:v>
                </c:pt>
                <c:pt idx="4">
                  <c:v>29</c:v>
                </c:pt>
                <c:pt idx="5">
                  <c:v>23</c:v>
                </c:pt>
                <c:pt idx="6">
                  <c:v>22</c:v>
                </c:pt>
              </c:numCache>
            </c:numRef>
          </c:yVal>
        </c:ser>
        <c:ser>
          <c:idx val="2"/>
          <c:order val="2"/>
          <c:tx>
            <c:strRef>
              <c:f>graphique!$D$2</c:f>
              <c:strCache>
                <c:ptCount val="1"/>
                <c:pt idx="0">
                  <c:v>Rural</c:v>
                </c:pt>
              </c:strCache>
            </c:strRef>
          </c:tx>
          <c:spPr>
            <a:ln w="19050" cap="rnd">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ct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graphique!$A$3:$A$9</c:f>
              <c:numCache>
                <c:formatCode>General</c:formatCode>
                <c:ptCount val="7"/>
                <c:pt idx="0">
                  <c:v>2017</c:v>
                </c:pt>
                <c:pt idx="1">
                  <c:v>2018</c:v>
                </c:pt>
                <c:pt idx="2">
                  <c:v>2019</c:v>
                </c:pt>
                <c:pt idx="3">
                  <c:v>2020</c:v>
                </c:pt>
                <c:pt idx="4">
                  <c:v>2021</c:v>
                </c:pt>
                <c:pt idx="5">
                  <c:v>2022</c:v>
                </c:pt>
                <c:pt idx="6">
                  <c:v>2023</c:v>
                </c:pt>
              </c:numCache>
            </c:numRef>
          </c:xVal>
          <c:yVal>
            <c:numRef>
              <c:f>graphique!$D$3:$D$9</c:f>
              <c:numCache>
                <c:formatCode>General</c:formatCode>
                <c:ptCount val="7"/>
                <c:pt idx="0">
                  <c:v>202</c:v>
                </c:pt>
                <c:pt idx="1">
                  <c:v>191</c:v>
                </c:pt>
                <c:pt idx="2">
                  <c:v>163</c:v>
                </c:pt>
                <c:pt idx="3">
                  <c:v>119</c:v>
                </c:pt>
                <c:pt idx="4">
                  <c:v>119</c:v>
                </c:pt>
                <c:pt idx="5">
                  <c:v>104</c:v>
                </c:pt>
                <c:pt idx="6">
                  <c:v>88</c:v>
                </c:pt>
              </c:numCache>
            </c:numRef>
          </c:yVal>
        </c:ser>
        <c:dLbls>
          <c:showVal val="1"/>
        </c:dLbls>
        <c:axId val="76028928"/>
        <c:axId val="76060928"/>
      </c:scatterChart>
      <c:valAx>
        <c:axId val="76028928"/>
        <c:scaling>
          <c:orientation val="minMax"/>
          <c:max val="2023"/>
          <c:min val="2017"/>
        </c:scaling>
        <c:axPos val="b"/>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76060928"/>
        <c:crosses val="autoZero"/>
        <c:crossBetween val="midCat"/>
      </c:valAx>
      <c:valAx>
        <c:axId val="76060928"/>
        <c:scaling>
          <c:orientation val="minMax"/>
        </c:scaling>
        <c:delete val="1"/>
        <c:axPos val="l"/>
        <c:numFmt formatCode="General" sourceLinked="1"/>
        <c:majorTickMark val="none"/>
        <c:tickLblPos val="none"/>
        <c:crossAx val="76028928"/>
        <c:crosses val="autoZero"/>
        <c:crossBetween val="midCat"/>
      </c:valAx>
      <c:spPr>
        <a:noFill/>
        <a:ln w="25400">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noFill/>
      <a:round/>
    </a:ln>
    <a:effectLst/>
  </c:spPr>
  <c:txPr>
    <a:bodyPr/>
    <a:lstStyle/>
    <a:p>
      <a:pPr>
        <a:defRPr/>
      </a:pPr>
      <a:endParaRPr lang="fr-FR"/>
    </a:p>
  </c:txPr>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3</Pages>
  <Words>610</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Analyse et conception</dc:creator>
  <cp:lastModifiedBy>HCP</cp:lastModifiedBy>
  <cp:revision>8</cp:revision>
  <cp:lastPrinted>2024-06-07T08:52:00Z</cp:lastPrinted>
  <dcterms:created xsi:type="dcterms:W3CDTF">2024-06-10T11:21:00Z</dcterms:created>
  <dcterms:modified xsi:type="dcterms:W3CDTF">2024-06-11T18:57:00Z</dcterms:modified>
</cp:coreProperties>
</file>